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</w:rPr>
        <w:t>HORAS MÁQUINAS DISPONIBILIZADAS PELA LEI 1.790/2019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INCENTIVO AO DESENVOLVIMENTO DA PISCICULTURA COMERCIAL</w:t>
      </w:r>
      <w:bookmarkEnd w:id="0"/>
    </w:p>
    <w:p/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Horas máquinas até 30 horas ao ano (com intervalo mínimo de doze meses), gratuitas. Acima de trinta horas com tarifa de 27,50 UPRIs por hora</w:t>
      </w:r>
    </w:p>
    <w:p>
      <w:pPr>
        <w:pStyle w:val="PargrafodaLista"/>
        <w:ind w:left="360"/>
        <w:jc w:val="both"/>
        <w:rPr>
          <w:rFonts w:ascii="Arial" w:hAnsi="Arial" w:cs="Arial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Por chamamento público.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12 (doze) meses, contados da homologação do chamamento.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Projeto técnico acompanhado da Anotação de Responsabilidade Técnica – ART recolhida;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Licenciamento ambiental para instalação;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Declaração, emitida pelo Departamento de Meio Ambiente, de que cumpre os requisitos legais/legislação ambiental;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Outorga de uso da água;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 (Registro de Imóveis) atualizada;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estar em dia com o cadastro de produtor rural;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estar em dia com as notas de produtor rural;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estar em dia com o Certificado de Cadastro de Imóveis Rurais (CCIR);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adimplência com as obrigações fiscais e cadastrais junto as instâncias Municipal, Estadual e Federal, produtor beneficiário e cônjuge: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negativa de débitos municipal: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negativa de débitos estadual: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negativa de débitos federal: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negativa de débitos do ITR;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Declaração emitida pela Secretaria de Meio Ambiente de que está sendo preservada as gramas às margens das estradas municipais ao longo de sua propriedade (quando for o caso);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propriedades que não façam divisa com estradas municipais o produtor assinará Declaração de que sua propriedade não faz divisa com estradas municipais;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Possuir conservação de solo adequada, comprovada através de vistoria a ser realizada pela equipe técnica da Secretaria de Agricultura e Meio Ambiente, que emitirá o Laudo de Vistoria.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os requisitos do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SIM(X), até trinta horas gratuitas, acima de 30h o VALOR: </w:t>
      </w:r>
      <w:r>
        <w:rPr>
          <w:rFonts w:ascii="Arial" w:hAnsi="Arial" w:cs="Arial"/>
          <w:b w:val="0"/>
        </w:rPr>
        <w:t>27,50 UPRIs.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2020-06-19T18:44:00Z</dcterms:created>
  <dcterms:modified xsi:type="dcterms:W3CDTF">2020-06-19T18:44:00Z</dcterms:modified>
</cp:coreProperties>
</file>