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INCENTIVO AO DESENVOLVIMENTO DA PISCICULTURA COMERCIAL – LEI MUNICIPAL N° 1.790/2019</w:t>
      </w:r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Horas máquinas até 30 horas ao ano (com intervalo mínimo de doze meses), gratuitas. Acima de trinta horas com tarifa de 27,50 </w:t>
      </w:r>
      <w:proofErr w:type="spellStart"/>
      <w:r>
        <w:rPr>
          <w:rFonts w:ascii="Arial" w:hAnsi="Arial" w:cs="Arial"/>
        </w:rPr>
        <w:t>UPRIs</w:t>
      </w:r>
      <w:proofErr w:type="spellEnd"/>
      <w:r>
        <w:rPr>
          <w:rFonts w:ascii="Arial" w:hAnsi="Arial" w:cs="Arial"/>
        </w:rPr>
        <w:t xml:space="preserve"> por hora. 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Calcário </w:t>
      </w:r>
      <w:proofErr w:type="spellStart"/>
      <w:r>
        <w:rPr>
          <w:rFonts w:ascii="Arial" w:hAnsi="Arial" w:cs="Arial"/>
        </w:rPr>
        <w:t>calcítico</w:t>
      </w:r>
      <w:proofErr w:type="spellEnd"/>
      <w:r>
        <w:rPr>
          <w:rFonts w:ascii="Arial" w:hAnsi="Arial" w:cs="Arial"/>
        </w:rPr>
        <w:t xml:space="preserve"> 01 tonelada por hectare, quando da construção ou reforma do açude, limitando-se ao tamanho/superfície do açude, reembolso de até 50 </w:t>
      </w:r>
      <w:proofErr w:type="spellStart"/>
      <w:r>
        <w:rPr>
          <w:rFonts w:ascii="Arial" w:hAnsi="Arial" w:cs="Arial"/>
        </w:rPr>
        <w:t>UPRIs</w:t>
      </w:r>
      <w:proofErr w:type="spellEnd"/>
      <w:r>
        <w:rPr>
          <w:rFonts w:ascii="Arial" w:hAnsi="Arial" w:cs="Arial"/>
        </w:rPr>
        <w:t xml:space="preserve"> por tonelada; 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 virgem 01 tonelada por hectare, quando da construção do açude ou da despesca, limitando-se ao tamanho/superfície do açude; 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Solo brita, limitado a 08 cm de espessura;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Alevinos ou peixes juvenis, reembolso de até 30 </w:t>
      </w:r>
      <w:proofErr w:type="spellStart"/>
      <w:r>
        <w:rPr>
          <w:rFonts w:ascii="Arial" w:hAnsi="Arial" w:cs="Arial"/>
        </w:rPr>
        <w:t>UPRIs</w:t>
      </w:r>
      <w:proofErr w:type="spellEnd"/>
      <w:r>
        <w:rPr>
          <w:rFonts w:ascii="Arial" w:hAnsi="Arial" w:cs="Arial"/>
        </w:rPr>
        <w:t xml:space="preserve"> por milheiro, limitando-se a cem mil alevinos, com intervalo de doze meses. </w:t>
      </w:r>
    </w:p>
    <w:p>
      <w:pPr>
        <w:pStyle w:val="PargrafodaLista"/>
        <w:spacing w:after="12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benefícios são precedidos de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Por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12 (doze) meses, contados da homologação do chamamento.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 (Registro de Imóveis) atualizada;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o cadastro de produtor rural;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as notas de produtor rural;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Comprovação de estar em dia com o Certificado de Cadastro de Imóveis Rurais (CCIR);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adimplência com as obrigações fiscais e cadastrais junto as instâncias Municipal, Estadual e Federal, produtor beneficiário e cônjuge: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municipal: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estadual: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negativa de débitos federal: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negativa de débitos do ITR;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Declaração emitida pela Secretaria de Meio Ambiente de que está sendo preservada as gramas às margens das estradas municipais ao longo de sua propriedade (quando for o caso);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propriedades que não façam divisa com estradas municipais o produtor assinará Declaração de que sua propriedade não faz divisa com estradas municipais;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Possuir conservação de solo adequada, comprovada através de vistoria a ser realizada pela equipe técnica da Secretaria de Agricultura e Meio Ambiente, que emitirá o Laudo de Vistoria.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chamamento público.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Planejamento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2020-06-10T13:08:00Z</cp:lastPrinted>
  <dcterms:created xsi:type="dcterms:W3CDTF">2020-06-19T18:30:00Z</dcterms:created>
  <dcterms:modified xsi:type="dcterms:W3CDTF">2020-06-19T18:30:00Z</dcterms:modified>
</cp:coreProperties>
</file>