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>INSEMINAÇÃO ARTIFICIAL AOS PECUARISTAS DE LEITE – LEI MUNICIPAL N° 1.013/2009</w:t>
      </w:r>
      <w:bookmarkEnd w:id="0"/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</w:rPr>
        <w:t>Subsídio de 70% do valor licitado da inseminação.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X)NÃO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O produtor faz o pedido na Secretaria de Agricultura </w:t>
      </w:r>
      <w:r>
        <w:rPr>
          <w:rFonts w:ascii="Arial" w:hAnsi="Arial" w:cs="Arial"/>
          <w:b w:val="0"/>
        </w:rPr>
        <w:t>e retira, na Tributação, o boleto referente aos 30% (do valor licitado da inseminação) que deverá pagar, após pago contata o profissional inseminador de sua preferência, dentre os contratados pelo Município.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01 (um) dia.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Solicitação de incentivo junto a Secretaria de Agricultura;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Comprovar o cadastro das vacas e novilhas junto a ADAPAR.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Notas Fiscais de produtor rural, que comprove a entrega dos produtos leite e/ou derivados;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Negativas de débito municipal;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Cadastro de produtor em dia;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Fazer o pedido na Secretaria de Agricultura e retirar, na Tributação, o boleto referente aos 30% que deverá pagar;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Contatar o profissional inseminador de sua preferência, dentre os contratados pelo Município.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    SIM (X)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 xml:space="preserve">VALOR: 30% do valor licitado da inseminação.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2020-06-19T18:41:00Z</dcterms:created>
  <dcterms:modified xsi:type="dcterms:W3CDTF">2020-06-19T18:41:00Z</dcterms:modified>
</cp:coreProperties>
</file>